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4260EF4" w14:textId="77777777" w:rsidR="00092CE5" w:rsidRPr="000D007E" w:rsidRDefault="00000000">
      <w:r w:rsidRPr="000D007E">
        <w:rPr>
          <w:b/>
        </w:rPr>
        <w:t>Effective Date:</w:t>
      </w:r>
      <w:r w:rsidRPr="000D007E">
        <w:t xml:space="preserve"> September 1, 2025</w:t>
      </w:r>
      <w:r w:rsidRPr="000D007E">
        <w:br/>
      </w:r>
      <w:r w:rsidRPr="000D007E">
        <w:rPr>
          <w:b/>
        </w:rPr>
        <w:t>Policy Owner:</w:t>
      </w:r>
      <w:r w:rsidRPr="000D007E">
        <w:t xml:space="preserve"> Office of the Vice-President Research</w:t>
      </w:r>
      <w:r w:rsidRPr="000D007E">
        <w:br/>
      </w:r>
      <w:r w:rsidRPr="000D007E">
        <w:rPr>
          <w:b/>
        </w:rPr>
        <w:t>Review Date:</w:t>
      </w:r>
      <w:r w:rsidRPr="000D007E">
        <w:t xml:space="preserve"> September 1, 2027</w:t>
      </w:r>
    </w:p>
    <w:p w14:paraId="64260EF6" w14:textId="44D0A4AE" w:rsidR="00092CE5" w:rsidRPr="000D007E" w:rsidRDefault="00092CE5"/>
    <w:p w14:paraId="64260EF7" w14:textId="77777777" w:rsidR="00092CE5" w:rsidRPr="000D007E" w:rsidRDefault="00000000">
      <w:pPr>
        <w:pStyle w:val="Heading2"/>
      </w:pPr>
      <w:bookmarkStart w:id="0" w:name="_qhk047d0uolf" w:colFirst="0" w:colLast="0"/>
      <w:bookmarkEnd w:id="0"/>
      <w:r w:rsidRPr="000D007E">
        <w:t>1. Purpose</w:t>
      </w:r>
    </w:p>
    <w:p w14:paraId="64260EF8" w14:textId="77777777" w:rsidR="00092CE5" w:rsidRPr="000D007E" w:rsidRDefault="00000000">
      <w:r w:rsidRPr="000D007E">
        <w:t>This policy establishes Thompson Rivers University's commitment to protecting the privacy, information, and data of Small and Medium Enterprises (SMEs) and other external clients when TRU provides advisory, consulting, or professional services.</w:t>
      </w:r>
    </w:p>
    <w:p w14:paraId="64260EF9" w14:textId="77777777" w:rsidR="00092CE5" w:rsidRPr="000D007E" w:rsidRDefault="00000000">
      <w:pPr>
        <w:pStyle w:val="Heading2"/>
      </w:pPr>
      <w:bookmarkStart w:id="1" w:name="_thc9ao2uvgyv" w:colFirst="0" w:colLast="0"/>
      <w:bookmarkEnd w:id="1"/>
      <w:r w:rsidRPr="000D007E">
        <w:t>2. Scope</w:t>
      </w:r>
    </w:p>
    <w:p w14:paraId="5E2FA204" w14:textId="79A5EA72" w:rsidR="00AB0BDB" w:rsidRPr="000D007E" w:rsidRDefault="00AE1E21">
      <w:r w:rsidRPr="000D007E">
        <w:t>This policy applies to all TRU faculty, staff, and students involved in providing university-approved services, advice, or expertise to external clients, organizations, or entities as part of their official TRU duties and responsibilities.</w:t>
      </w:r>
    </w:p>
    <w:p w14:paraId="64260EFB" w14:textId="77777777" w:rsidR="00092CE5" w:rsidRPr="000D007E" w:rsidRDefault="00000000">
      <w:pPr>
        <w:pStyle w:val="Heading2"/>
      </w:pPr>
      <w:r w:rsidRPr="000D007E">
        <w:t>3. Policy Statement</w:t>
      </w:r>
    </w:p>
    <w:p w14:paraId="64260EFC" w14:textId="77777777" w:rsidR="00092CE5" w:rsidRPr="000D007E" w:rsidRDefault="00000000">
      <w:r w:rsidRPr="000D007E">
        <w:t>TRU is committed to maintaining the highest standards of confidentiality and data protection for all external clients. All client information is treated as confidential and is protected through comprehensive technical, administrative, and physical safeguards.</w:t>
      </w:r>
    </w:p>
    <w:p w14:paraId="64260EFD" w14:textId="77777777" w:rsidR="00092CE5" w:rsidRPr="000D007E" w:rsidRDefault="00000000">
      <w:pPr>
        <w:pStyle w:val="Heading2"/>
      </w:pPr>
      <w:bookmarkStart w:id="2" w:name="_7xcuzw1upedx" w:colFirst="0" w:colLast="0"/>
      <w:bookmarkEnd w:id="2"/>
      <w:r w:rsidRPr="000D007E">
        <w:t>4. Data Protection Principles</w:t>
      </w:r>
    </w:p>
    <w:p w14:paraId="64260EFE" w14:textId="77777777" w:rsidR="00092CE5" w:rsidRPr="000D007E" w:rsidRDefault="00000000">
      <w:pPr>
        <w:pStyle w:val="Heading3"/>
        <w:rPr>
          <w:color w:val="auto"/>
        </w:rPr>
      </w:pPr>
      <w:bookmarkStart w:id="3" w:name="_v91lo2thvbb8" w:colFirst="0" w:colLast="0"/>
      <w:bookmarkEnd w:id="3"/>
      <w:r w:rsidRPr="000D007E">
        <w:rPr>
          <w:color w:val="auto"/>
        </w:rPr>
        <w:t>4.1 Confidentiality</w:t>
      </w:r>
    </w:p>
    <w:p w14:paraId="64260EFF" w14:textId="77777777" w:rsidR="00092CE5" w:rsidRPr="000D007E" w:rsidRDefault="00000000">
      <w:pPr>
        <w:numPr>
          <w:ilvl w:val="0"/>
          <w:numId w:val="1"/>
        </w:numPr>
      </w:pPr>
      <w:r w:rsidRPr="000D007E">
        <w:t>All external client data is classified as confidential by default</w:t>
      </w:r>
    </w:p>
    <w:p w14:paraId="64260F00" w14:textId="77777777" w:rsidR="00092CE5" w:rsidRPr="000D007E" w:rsidRDefault="00000000">
      <w:pPr>
        <w:numPr>
          <w:ilvl w:val="0"/>
          <w:numId w:val="1"/>
        </w:numPr>
        <w:rPr>
          <w:rFonts w:ascii="Aptos" w:hAnsi="Aptos"/>
        </w:rPr>
      </w:pPr>
      <w:r w:rsidRPr="000D007E">
        <w:t xml:space="preserve">Client information is only </w:t>
      </w:r>
      <w:r w:rsidRPr="000D007E">
        <w:rPr>
          <w:rFonts w:ascii="Aptos" w:hAnsi="Aptos"/>
        </w:rPr>
        <w:t>accessible to authorized personnel directly involved in the specific engagement</w:t>
      </w:r>
    </w:p>
    <w:p w14:paraId="2534CCE0" w14:textId="77777777" w:rsidR="0011783B" w:rsidRPr="000D007E" w:rsidRDefault="0011783B" w:rsidP="0011783B">
      <w:pPr>
        <w:pStyle w:val="NormalWeb"/>
        <w:numPr>
          <w:ilvl w:val="0"/>
          <w:numId w:val="1"/>
        </w:numPr>
        <w:rPr>
          <w:rFonts w:ascii="Aptos" w:hAnsi="Aptos"/>
          <w:sz w:val="22"/>
          <w:szCs w:val="22"/>
        </w:rPr>
      </w:pPr>
      <w:r w:rsidRPr="000D007E">
        <w:rPr>
          <w:rFonts w:ascii="Aptos" w:hAnsi="Aptos"/>
          <w:sz w:val="22"/>
          <w:szCs w:val="22"/>
        </w:rPr>
        <w:t>Non-disclosure agreements are executed prior to sharing confidential information</w:t>
      </w:r>
    </w:p>
    <w:p w14:paraId="64260F02" w14:textId="77777777" w:rsidR="00092CE5" w:rsidRPr="000D007E" w:rsidRDefault="00000000">
      <w:pPr>
        <w:pStyle w:val="Heading3"/>
        <w:rPr>
          <w:color w:val="auto"/>
        </w:rPr>
      </w:pPr>
      <w:bookmarkStart w:id="4" w:name="_pc1w0rn8fwdm" w:colFirst="0" w:colLast="0"/>
      <w:bookmarkEnd w:id="4"/>
      <w:r w:rsidRPr="000D007E">
        <w:rPr>
          <w:color w:val="auto"/>
        </w:rPr>
        <w:t>4.2 Data Security</w:t>
      </w:r>
    </w:p>
    <w:p w14:paraId="64260F03" w14:textId="77777777" w:rsidR="00092CE5" w:rsidRPr="000D007E" w:rsidRDefault="00000000">
      <w:pPr>
        <w:numPr>
          <w:ilvl w:val="0"/>
          <w:numId w:val="1"/>
        </w:numPr>
      </w:pPr>
      <w:r w:rsidRPr="000D007E">
        <w:t>Client data is stored in secure, access-controlled systems</w:t>
      </w:r>
    </w:p>
    <w:p w14:paraId="64260F04" w14:textId="77777777" w:rsidR="00092CE5" w:rsidRPr="000D007E" w:rsidRDefault="00000000">
      <w:pPr>
        <w:numPr>
          <w:ilvl w:val="0"/>
          <w:numId w:val="1"/>
        </w:numPr>
      </w:pPr>
      <w:r w:rsidRPr="000D007E">
        <w:t>All data transmissions utilize encryption protocols</w:t>
      </w:r>
    </w:p>
    <w:p w14:paraId="64260F05" w14:textId="77777777" w:rsidR="00092CE5" w:rsidRPr="000D007E" w:rsidRDefault="00000000">
      <w:pPr>
        <w:numPr>
          <w:ilvl w:val="0"/>
          <w:numId w:val="1"/>
        </w:numPr>
      </w:pPr>
      <w:r w:rsidRPr="000D007E">
        <w:t>Regular security monitoring and vulnerability assessments are conducted</w:t>
      </w:r>
    </w:p>
    <w:p w14:paraId="64260F06" w14:textId="77777777" w:rsidR="00092CE5" w:rsidRPr="000D007E" w:rsidRDefault="00000000">
      <w:pPr>
        <w:pStyle w:val="Heading3"/>
        <w:rPr>
          <w:color w:val="auto"/>
        </w:rPr>
      </w:pPr>
      <w:bookmarkStart w:id="5" w:name="_tjzjkzkm43c0" w:colFirst="0" w:colLast="0"/>
      <w:bookmarkEnd w:id="5"/>
      <w:r w:rsidRPr="000D007E">
        <w:rPr>
          <w:color w:val="auto"/>
        </w:rPr>
        <w:t>4.3 Privacy Compliance</w:t>
      </w:r>
    </w:p>
    <w:p w14:paraId="64260F07" w14:textId="77777777" w:rsidR="00092CE5" w:rsidRPr="000D007E" w:rsidRDefault="00000000">
      <w:pPr>
        <w:numPr>
          <w:ilvl w:val="0"/>
          <w:numId w:val="1"/>
        </w:numPr>
      </w:pPr>
      <w:r w:rsidRPr="000D007E">
        <w:t>All activities comply with applicable privacy legislation, including PIPEDA and FOIPPA</w:t>
      </w:r>
    </w:p>
    <w:p w14:paraId="64260F08" w14:textId="77777777" w:rsidR="00092CE5" w:rsidRPr="000D007E" w:rsidRDefault="00000000">
      <w:pPr>
        <w:numPr>
          <w:ilvl w:val="0"/>
          <w:numId w:val="1"/>
        </w:numPr>
      </w:pPr>
      <w:r w:rsidRPr="000D007E">
        <w:lastRenderedPageBreak/>
        <w:t>Client consent is obtained for any data use beyond the immediate service scope</w:t>
      </w:r>
    </w:p>
    <w:p w14:paraId="64260F09" w14:textId="77777777" w:rsidR="00092CE5" w:rsidRPr="000D007E" w:rsidRDefault="00000000">
      <w:pPr>
        <w:numPr>
          <w:ilvl w:val="0"/>
          <w:numId w:val="1"/>
        </w:numPr>
      </w:pPr>
      <w:r w:rsidRPr="000D007E">
        <w:t>Data retention follows contractually agreed schedules</w:t>
      </w:r>
    </w:p>
    <w:p w14:paraId="64260F0A" w14:textId="77777777" w:rsidR="00092CE5" w:rsidRPr="000D007E" w:rsidRDefault="00000000">
      <w:pPr>
        <w:pStyle w:val="Heading2"/>
      </w:pPr>
      <w:bookmarkStart w:id="6" w:name="_gf7riowv47qw" w:colFirst="0" w:colLast="0"/>
      <w:bookmarkEnd w:id="6"/>
      <w:r w:rsidRPr="000D007E">
        <w:t>5. Data Handling Procedures</w:t>
      </w:r>
    </w:p>
    <w:p w14:paraId="64260F0B" w14:textId="77777777" w:rsidR="00092CE5" w:rsidRPr="000D007E" w:rsidRDefault="00000000">
      <w:pPr>
        <w:pStyle w:val="Heading3"/>
        <w:rPr>
          <w:color w:val="auto"/>
        </w:rPr>
      </w:pPr>
      <w:bookmarkStart w:id="7" w:name="_xi23ikleza9" w:colFirst="0" w:colLast="0"/>
      <w:bookmarkEnd w:id="7"/>
      <w:r w:rsidRPr="000D007E">
        <w:rPr>
          <w:color w:val="auto"/>
        </w:rPr>
        <w:t>5.1 Collection and Use</w:t>
      </w:r>
    </w:p>
    <w:p w14:paraId="64260F0C" w14:textId="77777777" w:rsidR="00092CE5" w:rsidRPr="000D007E" w:rsidRDefault="00000000">
      <w:pPr>
        <w:numPr>
          <w:ilvl w:val="0"/>
          <w:numId w:val="1"/>
        </w:numPr>
      </w:pPr>
      <w:r w:rsidRPr="000D007E">
        <w:t>Client data is collected only for the specific purpose of service delivery</w:t>
      </w:r>
    </w:p>
    <w:p w14:paraId="64260F0D" w14:textId="77777777" w:rsidR="00092CE5" w:rsidRPr="000D007E" w:rsidRDefault="00000000">
      <w:pPr>
        <w:numPr>
          <w:ilvl w:val="0"/>
          <w:numId w:val="1"/>
        </w:numPr>
      </w:pPr>
      <w:r w:rsidRPr="000D007E">
        <w:t>Data use is limited to authorized personnel and the agreed service scope</w:t>
      </w:r>
    </w:p>
    <w:p w14:paraId="64260F0E" w14:textId="77777777" w:rsidR="00092CE5" w:rsidRPr="000D007E" w:rsidRDefault="00000000">
      <w:pPr>
        <w:numPr>
          <w:ilvl w:val="0"/>
          <w:numId w:val="1"/>
        </w:numPr>
      </w:pPr>
      <w:r w:rsidRPr="000D007E">
        <w:t>Client data is never used for internal research without explicit written consent</w:t>
      </w:r>
    </w:p>
    <w:p w14:paraId="64260F0F" w14:textId="77777777" w:rsidR="00092CE5" w:rsidRPr="000D007E" w:rsidRDefault="00000000">
      <w:pPr>
        <w:pStyle w:val="Heading3"/>
        <w:rPr>
          <w:color w:val="auto"/>
        </w:rPr>
      </w:pPr>
      <w:bookmarkStart w:id="8" w:name="_exxak91ndd26" w:colFirst="0" w:colLast="0"/>
      <w:bookmarkEnd w:id="8"/>
      <w:r w:rsidRPr="000D007E">
        <w:rPr>
          <w:color w:val="auto"/>
        </w:rPr>
        <w:t>5.2 Storage and Access</w:t>
      </w:r>
    </w:p>
    <w:p w14:paraId="64260F10" w14:textId="77777777" w:rsidR="00092CE5" w:rsidRPr="000D007E" w:rsidRDefault="00000000">
      <w:pPr>
        <w:numPr>
          <w:ilvl w:val="0"/>
          <w:numId w:val="1"/>
        </w:numPr>
      </w:pPr>
      <w:r w:rsidRPr="000D007E">
        <w:t>Client data is stored separately from academic research data</w:t>
      </w:r>
    </w:p>
    <w:p w14:paraId="64260F11" w14:textId="77777777" w:rsidR="00092CE5" w:rsidRPr="000D007E" w:rsidRDefault="00000000">
      <w:pPr>
        <w:numPr>
          <w:ilvl w:val="0"/>
          <w:numId w:val="1"/>
        </w:numPr>
      </w:pPr>
      <w:r w:rsidRPr="000D007E">
        <w:t>Role-based access controls limit data access to authorized individuals</w:t>
      </w:r>
    </w:p>
    <w:p w14:paraId="64260F12" w14:textId="77777777" w:rsidR="00092CE5" w:rsidRPr="000D007E" w:rsidRDefault="00000000">
      <w:pPr>
        <w:numPr>
          <w:ilvl w:val="0"/>
          <w:numId w:val="1"/>
        </w:numPr>
      </w:pPr>
      <w:r w:rsidRPr="000D007E">
        <w:t>Access logs are maintained and regularly reviewed</w:t>
      </w:r>
    </w:p>
    <w:p w14:paraId="64260F13" w14:textId="77777777" w:rsidR="00092CE5" w:rsidRPr="000D007E" w:rsidRDefault="00000000">
      <w:pPr>
        <w:pStyle w:val="Heading3"/>
        <w:rPr>
          <w:color w:val="auto"/>
        </w:rPr>
      </w:pPr>
      <w:bookmarkStart w:id="9" w:name="_butb82llv0fy" w:colFirst="0" w:colLast="0"/>
      <w:bookmarkEnd w:id="9"/>
      <w:r w:rsidRPr="000D007E">
        <w:rPr>
          <w:color w:val="auto"/>
        </w:rPr>
        <w:t>5.3 Retention and Disposal</w:t>
      </w:r>
    </w:p>
    <w:p w14:paraId="64260F14" w14:textId="77777777" w:rsidR="00092CE5" w:rsidRPr="000D007E" w:rsidRDefault="00000000">
      <w:pPr>
        <w:numPr>
          <w:ilvl w:val="0"/>
          <w:numId w:val="1"/>
        </w:numPr>
      </w:pPr>
      <w:r w:rsidRPr="000D007E">
        <w:t>Client data is retained only as long as necessary for service delivery</w:t>
      </w:r>
    </w:p>
    <w:p w14:paraId="64260F15" w14:textId="77777777" w:rsidR="00092CE5" w:rsidRPr="000D007E" w:rsidRDefault="00000000">
      <w:pPr>
        <w:numPr>
          <w:ilvl w:val="0"/>
          <w:numId w:val="1"/>
        </w:numPr>
      </w:pPr>
      <w:r w:rsidRPr="000D007E">
        <w:t>Data destruction follows secure disposal procedures</w:t>
      </w:r>
    </w:p>
    <w:p w14:paraId="64260F16" w14:textId="77777777" w:rsidR="00092CE5" w:rsidRPr="000D007E" w:rsidRDefault="00000000">
      <w:pPr>
        <w:numPr>
          <w:ilvl w:val="0"/>
          <w:numId w:val="1"/>
        </w:numPr>
      </w:pPr>
      <w:r w:rsidRPr="000D007E">
        <w:t>Retention schedules are specified in client contracts</w:t>
      </w:r>
    </w:p>
    <w:p w14:paraId="64260F17" w14:textId="77777777" w:rsidR="00092CE5" w:rsidRPr="000D007E" w:rsidRDefault="00000000">
      <w:pPr>
        <w:pStyle w:val="Heading2"/>
      </w:pPr>
      <w:bookmarkStart w:id="10" w:name="_or8fvf430lcd" w:colFirst="0" w:colLast="0"/>
      <w:bookmarkEnd w:id="10"/>
      <w:r w:rsidRPr="000D007E">
        <w:t>6. Incident Response</w:t>
      </w:r>
    </w:p>
    <w:p w14:paraId="64260F18" w14:textId="77777777" w:rsidR="00092CE5" w:rsidRPr="000D007E" w:rsidRDefault="00000000">
      <w:r w:rsidRPr="000D007E">
        <w:t>In the event of a suspected data breach involving client information:</w:t>
      </w:r>
    </w:p>
    <w:p w14:paraId="64260F19" w14:textId="77777777" w:rsidR="00092CE5" w:rsidRPr="000D007E" w:rsidRDefault="00092CE5">
      <w:pPr>
        <w:pBdr>
          <w:top w:val="nil"/>
          <w:left w:val="nil"/>
          <w:bottom w:val="nil"/>
          <w:right w:val="nil"/>
          <w:between w:val="nil"/>
        </w:pBdr>
      </w:pPr>
    </w:p>
    <w:p w14:paraId="64260F1A" w14:textId="77777777" w:rsidR="00092CE5" w:rsidRPr="000D007E" w:rsidRDefault="00000000">
      <w:pPr>
        <w:numPr>
          <w:ilvl w:val="0"/>
          <w:numId w:val="1"/>
        </w:numPr>
      </w:pPr>
      <w:r w:rsidRPr="000D007E">
        <w:t>Immediate containment and assessment procedures are activated</w:t>
      </w:r>
    </w:p>
    <w:p w14:paraId="64260F1B" w14:textId="6D12BB4E" w:rsidR="00092CE5" w:rsidRPr="000D007E" w:rsidRDefault="00000000">
      <w:pPr>
        <w:numPr>
          <w:ilvl w:val="0"/>
          <w:numId w:val="1"/>
        </w:numPr>
      </w:pPr>
      <w:r w:rsidRPr="000D007E">
        <w:t xml:space="preserve">Affected clients are notified </w:t>
      </w:r>
      <w:r w:rsidR="00D6517A" w:rsidRPr="000D007E">
        <w:t>promptly</w:t>
      </w:r>
    </w:p>
    <w:p w14:paraId="64260F1C" w14:textId="77777777" w:rsidR="00092CE5" w:rsidRPr="000D007E" w:rsidRDefault="00000000">
      <w:pPr>
        <w:numPr>
          <w:ilvl w:val="0"/>
          <w:numId w:val="1"/>
        </w:numPr>
      </w:pPr>
      <w:r w:rsidRPr="000D007E">
        <w:t>Regulatory authorities are notified as required by law</w:t>
      </w:r>
    </w:p>
    <w:p w14:paraId="64260F1D" w14:textId="77777777" w:rsidR="00092CE5" w:rsidRPr="000D007E" w:rsidRDefault="00000000">
      <w:pPr>
        <w:numPr>
          <w:ilvl w:val="0"/>
          <w:numId w:val="1"/>
        </w:numPr>
      </w:pPr>
      <w:r w:rsidRPr="000D007E">
        <w:t>Corrective measures are implemented to prevent recurrence</w:t>
      </w:r>
    </w:p>
    <w:p w14:paraId="64260F1E" w14:textId="77777777" w:rsidR="00092CE5" w:rsidRPr="000D007E" w:rsidRDefault="00000000">
      <w:pPr>
        <w:pStyle w:val="Heading2"/>
      </w:pPr>
      <w:bookmarkStart w:id="11" w:name="_3psqdu4zf40t" w:colFirst="0" w:colLast="0"/>
      <w:bookmarkEnd w:id="11"/>
      <w:r w:rsidRPr="000D007E">
        <w:t>7. Training and Awareness</w:t>
      </w:r>
    </w:p>
    <w:p w14:paraId="64260F1F" w14:textId="77777777" w:rsidR="00092CE5" w:rsidRPr="000D007E" w:rsidRDefault="00000000">
      <w:r w:rsidRPr="000D007E">
        <w:t>All personnel involved in external client services receive training on:</w:t>
      </w:r>
    </w:p>
    <w:p w14:paraId="64260F20" w14:textId="77777777" w:rsidR="00092CE5" w:rsidRPr="000D007E" w:rsidRDefault="00092CE5">
      <w:pPr>
        <w:pBdr>
          <w:top w:val="nil"/>
          <w:left w:val="nil"/>
          <w:bottom w:val="nil"/>
          <w:right w:val="nil"/>
          <w:between w:val="nil"/>
        </w:pBdr>
      </w:pPr>
    </w:p>
    <w:p w14:paraId="64260F21" w14:textId="77777777" w:rsidR="00092CE5" w:rsidRPr="000D007E" w:rsidRDefault="00000000">
      <w:pPr>
        <w:numPr>
          <w:ilvl w:val="0"/>
          <w:numId w:val="1"/>
        </w:numPr>
      </w:pPr>
      <w:r w:rsidRPr="000D007E">
        <w:t>Confidentiality obligations and data handling procedures</w:t>
      </w:r>
    </w:p>
    <w:p w14:paraId="64260F22" w14:textId="77777777" w:rsidR="00092CE5" w:rsidRPr="000D007E" w:rsidRDefault="00000000">
      <w:pPr>
        <w:numPr>
          <w:ilvl w:val="0"/>
          <w:numId w:val="1"/>
        </w:numPr>
      </w:pPr>
      <w:r w:rsidRPr="000D007E">
        <w:t>Security protocols and incident reporting</w:t>
      </w:r>
    </w:p>
    <w:p w14:paraId="64260F23" w14:textId="77777777" w:rsidR="00092CE5" w:rsidRPr="000D007E" w:rsidRDefault="00000000">
      <w:pPr>
        <w:numPr>
          <w:ilvl w:val="0"/>
          <w:numId w:val="1"/>
        </w:numPr>
      </w:pPr>
      <w:r w:rsidRPr="000D007E">
        <w:t>Privacy legislation compliance requirements</w:t>
      </w:r>
    </w:p>
    <w:p w14:paraId="64260F24" w14:textId="77777777" w:rsidR="00092CE5" w:rsidRPr="000D007E" w:rsidRDefault="00000000">
      <w:pPr>
        <w:pStyle w:val="Heading2"/>
      </w:pPr>
      <w:bookmarkStart w:id="12" w:name="_qxpujip7xjt" w:colFirst="0" w:colLast="0"/>
      <w:bookmarkEnd w:id="12"/>
      <w:r w:rsidRPr="000D007E">
        <w:lastRenderedPageBreak/>
        <w:t>8. Contract Requirements</w:t>
      </w:r>
    </w:p>
    <w:p w14:paraId="64260F25" w14:textId="77777777" w:rsidR="00092CE5" w:rsidRPr="000D007E" w:rsidRDefault="00000000">
      <w:r w:rsidRPr="000D007E">
        <w:t>All external client engagements include:</w:t>
      </w:r>
    </w:p>
    <w:p w14:paraId="64260F26" w14:textId="77777777" w:rsidR="00092CE5" w:rsidRPr="000D007E" w:rsidRDefault="00092CE5">
      <w:pPr>
        <w:pBdr>
          <w:top w:val="nil"/>
          <w:left w:val="nil"/>
          <w:bottom w:val="nil"/>
          <w:right w:val="nil"/>
          <w:between w:val="nil"/>
        </w:pBdr>
      </w:pPr>
    </w:p>
    <w:p w14:paraId="64260F27" w14:textId="77777777" w:rsidR="00092CE5" w:rsidRPr="000D007E" w:rsidRDefault="00000000">
      <w:pPr>
        <w:numPr>
          <w:ilvl w:val="0"/>
          <w:numId w:val="1"/>
        </w:numPr>
      </w:pPr>
      <w:r w:rsidRPr="000D007E">
        <w:t>Clear data protection and confidentiality provisions</w:t>
      </w:r>
    </w:p>
    <w:p w14:paraId="64260F28" w14:textId="77777777" w:rsidR="00092CE5" w:rsidRPr="000D007E" w:rsidRDefault="00000000">
      <w:pPr>
        <w:numPr>
          <w:ilvl w:val="0"/>
          <w:numId w:val="1"/>
        </w:numPr>
      </w:pPr>
      <w:r w:rsidRPr="000D007E">
        <w:t>Specified data retention and destruction terms</w:t>
      </w:r>
    </w:p>
    <w:p w14:paraId="64260F29" w14:textId="77777777" w:rsidR="00092CE5" w:rsidRPr="000D007E" w:rsidRDefault="00000000">
      <w:pPr>
        <w:numPr>
          <w:ilvl w:val="0"/>
          <w:numId w:val="1"/>
        </w:numPr>
      </w:pPr>
      <w:r w:rsidRPr="000D007E">
        <w:t>Intellectual property and data ownership clauses</w:t>
      </w:r>
    </w:p>
    <w:p w14:paraId="64260F2A" w14:textId="0141A02E" w:rsidR="00092CE5" w:rsidRPr="000D007E" w:rsidRDefault="007D7B9B">
      <w:pPr>
        <w:numPr>
          <w:ilvl w:val="0"/>
          <w:numId w:val="1"/>
        </w:numPr>
      </w:pPr>
      <w:r w:rsidRPr="000D007E">
        <w:t>TRU maintains appropriate professional liability insurance coverage for service delivery.</w:t>
      </w:r>
      <w:bookmarkStart w:id="13" w:name="_6cq6bti84jrl" w:colFirst="0" w:colLast="0"/>
      <w:bookmarkEnd w:id="13"/>
    </w:p>
    <w:p w14:paraId="64260F2B" w14:textId="77777777" w:rsidR="00092CE5" w:rsidRPr="000D007E" w:rsidRDefault="00000000">
      <w:pPr>
        <w:pStyle w:val="Heading2"/>
      </w:pPr>
      <w:r w:rsidRPr="000D007E">
        <w:t>9. Oversight and Review</w:t>
      </w:r>
    </w:p>
    <w:p w14:paraId="64260F2C" w14:textId="77777777" w:rsidR="00092CE5" w:rsidRPr="000D007E" w:rsidRDefault="00000000">
      <w:r w:rsidRPr="000D007E">
        <w:t>This policy is reviewed biennially to ensure:</w:t>
      </w:r>
    </w:p>
    <w:p w14:paraId="64260F2D" w14:textId="77777777" w:rsidR="00092CE5" w:rsidRPr="000D007E" w:rsidRDefault="00092CE5">
      <w:pPr>
        <w:pBdr>
          <w:top w:val="nil"/>
          <w:left w:val="nil"/>
          <w:bottom w:val="nil"/>
          <w:right w:val="nil"/>
          <w:between w:val="nil"/>
        </w:pBdr>
      </w:pPr>
    </w:p>
    <w:p w14:paraId="64260F2E" w14:textId="77777777" w:rsidR="00092CE5" w:rsidRPr="000D007E" w:rsidRDefault="00000000">
      <w:pPr>
        <w:numPr>
          <w:ilvl w:val="0"/>
          <w:numId w:val="1"/>
        </w:numPr>
      </w:pPr>
      <w:r w:rsidRPr="000D007E">
        <w:t>Continued compliance with privacy legislation</w:t>
      </w:r>
    </w:p>
    <w:p w14:paraId="64260F2F" w14:textId="77777777" w:rsidR="00092CE5" w:rsidRPr="000D007E" w:rsidRDefault="00000000">
      <w:pPr>
        <w:numPr>
          <w:ilvl w:val="0"/>
          <w:numId w:val="1"/>
        </w:numPr>
      </w:pPr>
      <w:r w:rsidRPr="000D007E">
        <w:t>Alignment with industry best practices</w:t>
      </w:r>
    </w:p>
    <w:p w14:paraId="64260F30" w14:textId="77777777" w:rsidR="00092CE5" w:rsidRPr="000D007E" w:rsidRDefault="00000000">
      <w:pPr>
        <w:numPr>
          <w:ilvl w:val="0"/>
          <w:numId w:val="1"/>
        </w:numPr>
      </w:pPr>
      <w:r w:rsidRPr="000D007E">
        <w:t>Effectiveness of data protection measures</w:t>
      </w:r>
    </w:p>
    <w:p w14:paraId="64260F31" w14:textId="77777777" w:rsidR="00092CE5" w:rsidRPr="000D007E" w:rsidRDefault="00000000">
      <w:pPr>
        <w:pStyle w:val="Heading2"/>
      </w:pPr>
      <w:bookmarkStart w:id="14" w:name="_l4khshmk8d5b" w:colFirst="0" w:colLast="0"/>
      <w:bookmarkEnd w:id="14"/>
      <w:r w:rsidRPr="000D007E">
        <w:t>10. Contact Information</w:t>
      </w:r>
    </w:p>
    <w:p w14:paraId="64260F32" w14:textId="77777777" w:rsidR="00092CE5" w:rsidRPr="000D007E" w:rsidRDefault="00000000">
      <w:r w:rsidRPr="000D007E">
        <w:t>For questions about this policy or to report data protection concerns:</w:t>
      </w:r>
    </w:p>
    <w:p w14:paraId="64260F33" w14:textId="77777777" w:rsidR="00092CE5" w:rsidRPr="000D007E" w:rsidRDefault="00092CE5">
      <w:pPr>
        <w:pBdr>
          <w:top w:val="nil"/>
          <w:left w:val="nil"/>
          <w:bottom w:val="nil"/>
          <w:right w:val="nil"/>
          <w:between w:val="nil"/>
        </w:pBdr>
      </w:pPr>
    </w:p>
    <w:p w14:paraId="64260F34" w14:textId="77777777" w:rsidR="00092CE5" w:rsidRPr="000D007E" w:rsidRDefault="00000000">
      <w:r w:rsidRPr="000D007E">
        <w:rPr>
          <w:b/>
        </w:rPr>
        <w:t>Privacy Officer</w:t>
      </w:r>
      <w:r w:rsidRPr="000D007E">
        <w:br/>
        <w:t>Thompson Rivers University</w:t>
      </w:r>
      <w:r w:rsidRPr="000D007E">
        <w:br/>
        <w:t xml:space="preserve">Email: </w:t>
      </w:r>
      <w:hyperlink r:id="rId7">
        <w:r w:rsidRPr="000D007E">
          <w:rPr>
            <w:u w:val="single"/>
          </w:rPr>
          <w:t>privacy@tru.ca</w:t>
        </w:r>
      </w:hyperlink>
      <w:r w:rsidRPr="000D007E">
        <w:br/>
        <w:t>Phone: 778-471-8000</w:t>
      </w:r>
    </w:p>
    <w:p w14:paraId="64260F35" w14:textId="77777777" w:rsidR="00092CE5" w:rsidRPr="000D007E" w:rsidRDefault="00092CE5">
      <w:pPr>
        <w:pBdr>
          <w:top w:val="nil"/>
          <w:left w:val="nil"/>
          <w:bottom w:val="nil"/>
          <w:right w:val="nil"/>
          <w:between w:val="nil"/>
        </w:pBdr>
      </w:pPr>
    </w:p>
    <w:p w14:paraId="64260F36" w14:textId="77777777" w:rsidR="00092CE5" w:rsidRPr="000D007E" w:rsidRDefault="00000000">
      <w:r w:rsidRPr="000D007E">
        <w:rPr>
          <w:b/>
        </w:rPr>
        <w:t>Office of the Vice-President Research</w:t>
      </w:r>
      <w:r w:rsidRPr="000D007E">
        <w:br/>
        <w:t>Thompson Rivers University</w:t>
      </w:r>
      <w:r w:rsidRPr="000D007E">
        <w:br/>
        <w:t xml:space="preserve">Email: </w:t>
      </w:r>
      <w:hyperlink r:id="rId8">
        <w:r w:rsidRPr="000D007E">
          <w:rPr>
            <w:u w:val="single"/>
          </w:rPr>
          <w:t>research@tru.ca</w:t>
        </w:r>
      </w:hyperlink>
      <w:r w:rsidRPr="000D007E">
        <w:br/>
        <w:t>Phone: 778-471-8444</w:t>
      </w:r>
    </w:p>
    <w:p w14:paraId="64260F37" w14:textId="77777777" w:rsidR="00092CE5" w:rsidRPr="000D007E" w:rsidRDefault="00092CE5">
      <w:pPr>
        <w:pBdr>
          <w:top w:val="nil"/>
          <w:left w:val="nil"/>
          <w:bottom w:val="nil"/>
          <w:right w:val="nil"/>
          <w:between w:val="nil"/>
        </w:pBdr>
      </w:pPr>
    </w:p>
    <w:p w14:paraId="64260F38" w14:textId="77777777" w:rsidR="00092CE5" w:rsidRPr="000D007E" w:rsidRDefault="00A56B7D">
      <w:r>
        <w:rPr>
          <w:noProof/>
        </w:rPr>
        <w:pict w14:anchorId="64260F3E">
          <v:rect id="_x0000_i1025" alt="" style="width:468pt;height:.05pt;mso-width-percent:0;mso-height-percent:0;mso-width-percent:0;mso-height-percent:0" o:hralign="center" o:hrstd="t" o:hr="t" fillcolor="#a0a0a0" stroked="f"/>
        </w:pict>
      </w:r>
    </w:p>
    <w:p w14:paraId="64260F39" w14:textId="77777777" w:rsidR="00092CE5" w:rsidRPr="000D007E" w:rsidRDefault="00092CE5">
      <w:pPr>
        <w:pBdr>
          <w:top w:val="nil"/>
          <w:left w:val="nil"/>
          <w:bottom w:val="nil"/>
          <w:right w:val="nil"/>
          <w:between w:val="nil"/>
        </w:pBdr>
      </w:pPr>
    </w:p>
    <w:p w14:paraId="64260F3A" w14:textId="77777777" w:rsidR="00092CE5" w:rsidRPr="000D007E" w:rsidRDefault="00000000">
      <w:pPr>
        <w:rPr>
          <w:i/>
        </w:rPr>
      </w:pPr>
      <w:r w:rsidRPr="000D007E">
        <w:rPr>
          <w:i/>
        </w:rPr>
        <w:t xml:space="preserve">Thompson Rivers University campuses are on the ancestral lands of the </w:t>
      </w:r>
      <w:proofErr w:type="spellStart"/>
      <w:r w:rsidRPr="000D007E">
        <w:rPr>
          <w:i/>
        </w:rPr>
        <w:t>Tk'emlúps</w:t>
      </w:r>
      <w:proofErr w:type="spellEnd"/>
      <w:r w:rsidRPr="000D007E">
        <w:rPr>
          <w:i/>
        </w:rPr>
        <w:t xml:space="preserve"> te Secwépemc (Kamloops campus) and the </w:t>
      </w:r>
      <w:proofErr w:type="spellStart"/>
      <w:r w:rsidRPr="000D007E">
        <w:rPr>
          <w:i/>
        </w:rPr>
        <w:t>T’exelc</w:t>
      </w:r>
      <w:proofErr w:type="spellEnd"/>
      <w:r w:rsidRPr="000D007E">
        <w:rPr>
          <w:i/>
        </w:rPr>
        <w:t xml:space="preserve"> (Williams Lake campus) within Secwepemcúl̓ecw, the traditional and unceded territory of the Secwépemc. The region TRU serves also extends into the territories of the </w:t>
      </w:r>
      <w:proofErr w:type="spellStart"/>
      <w:r w:rsidRPr="000D007E">
        <w:rPr>
          <w:i/>
        </w:rPr>
        <w:t>St’át’imc</w:t>
      </w:r>
      <w:proofErr w:type="spellEnd"/>
      <w:r w:rsidRPr="000D007E">
        <w:rPr>
          <w:i/>
        </w:rPr>
        <w:t xml:space="preserve">, Nlaka’pamux, Nuxalk, </w:t>
      </w:r>
      <w:proofErr w:type="spellStart"/>
      <w:r w:rsidRPr="000D007E">
        <w:rPr>
          <w:i/>
        </w:rPr>
        <w:t>Tŝilhqot'in</w:t>
      </w:r>
      <w:proofErr w:type="spellEnd"/>
      <w:r w:rsidRPr="000D007E">
        <w:rPr>
          <w:i/>
        </w:rPr>
        <w:t>, Dakelh, and Syilx peoples.</w:t>
      </w:r>
    </w:p>
    <w:p w14:paraId="64260F3B" w14:textId="77777777" w:rsidR="00092CE5" w:rsidRPr="000D007E" w:rsidRDefault="00092CE5">
      <w:pPr>
        <w:rPr>
          <w:i/>
        </w:rPr>
      </w:pPr>
    </w:p>
    <w:p w14:paraId="64260F3C" w14:textId="77777777" w:rsidR="00092CE5" w:rsidRPr="000D007E" w:rsidRDefault="00092CE5"/>
    <w:sectPr w:rsidR="00092CE5" w:rsidRPr="000D007E">
      <w:headerReference w:type="even" r:id="rId9"/>
      <w:headerReference w:type="default" r:id="rId10"/>
      <w:head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9BD40" w14:textId="77777777" w:rsidR="00A56B7D" w:rsidRDefault="00A56B7D" w:rsidP="00FB25F7">
      <w:pPr>
        <w:spacing w:line="240" w:lineRule="auto"/>
      </w:pPr>
      <w:r>
        <w:separator/>
      </w:r>
    </w:p>
  </w:endnote>
  <w:endnote w:type="continuationSeparator" w:id="0">
    <w:p w14:paraId="13669807" w14:textId="77777777" w:rsidR="00A56B7D" w:rsidRDefault="00A56B7D" w:rsidP="00FB25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17B37" w14:textId="77777777" w:rsidR="00A56B7D" w:rsidRDefault="00A56B7D" w:rsidP="00FB25F7">
      <w:pPr>
        <w:spacing w:line="240" w:lineRule="auto"/>
      </w:pPr>
      <w:r>
        <w:separator/>
      </w:r>
    </w:p>
  </w:footnote>
  <w:footnote w:type="continuationSeparator" w:id="0">
    <w:p w14:paraId="509B371D" w14:textId="77777777" w:rsidR="00A56B7D" w:rsidRDefault="00A56B7D" w:rsidP="00FB25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9F814" w14:textId="77777777" w:rsidR="00FB25F7" w:rsidRDefault="00FB2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2F268" w14:textId="77777777" w:rsidR="00995A3C" w:rsidRPr="00D058A1" w:rsidRDefault="00995A3C" w:rsidP="00995A3C">
    <w:pPr>
      <w:ind w:firstLine="5670"/>
    </w:pPr>
    <w:r>
      <w:rPr>
        <w:noProof/>
      </w:rPr>
      <mc:AlternateContent>
        <mc:Choice Requires="wps">
          <w:drawing>
            <wp:anchor distT="0" distB="0" distL="114300" distR="114300" simplePos="0" relativeHeight="251661314" behindDoc="1" locked="0" layoutInCell="0" allowOverlap="1" wp14:anchorId="257A5174" wp14:editId="6093A887">
              <wp:simplePos x="0" y="0"/>
              <wp:positionH relativeFrom="margin">
                <wp:align>center</wp:align>
              </wp:positionH>
              <wp:positionV relativeFrom="margin">
                <wp:align>center</wp:align>
              </wp:positionV>
              <wp:extent cx="9439275" cy="685800"/>
              <wp:effectExtent l="0" t="0" r="0" b="0"/>
              <wp:wrapNone/>
              <wp:docPr id="197980176" name="PowerPlusWaterMarkObject63056593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9439275" cy="685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5F18B3" w14:textId="77777777" w:rsidR="00995A3C" w:rsidRDefault="00995A3C" w:rsidP="00995A3C">
                          <w:pPr>
                            <w:jc w:val="center"/>
                            <w:rPr>
                              <w:color w:val="7F7F7F" w:themeColor="text1" w:themeTint="80"/>
                              <w:sz w:val="16"/>
                              <w:szCs w:val="16"/>
                              <w:lang w:val="en-US"/>
                              <w14:textFill>
                                <w14:solidFill>
                                  <w14:schemeClr w14:val="tx1">
                                    <w14:alpha w14:val="50000"/>
                                    <w14:lumMod w14:val="50000"/>
                                    <w14:lumOff w14:val="50000"/>
                                  </w14:schemeClr>
                                </w14:solidFill>
                              </w14:textFill>
                            </w:rPr>
                          </w:pPr>
                          <w:r>
                            <w:rPr>
                              <w:color w:val="7F7F7F" w:themeColor="text1" w:themeTint="80"/>
                              <w:sz w:val="16"/>
                              <w:szCs w:val="16"/>
                              <w:lang w:val="en-US"/>
                              <w14:textFill>
                                <w14:solidFill>
                                  <w14:schemeClr w14:val="tx1">
                                    <w14:alpha w14:val="50000"/>
                                    <w14:lumMod w14:val="50000"/>
                                    <w14:lumOff w14:val="50000"/>
                                  </w14:schemeClr>
                                </w14:solidFill>
                              </w14:textFill>
                            </w:rPr>
                            <w:t>DRAFT - for consultation purposes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57A5174" id="_x0000_t202" coordsize="21600,21600" o:spt="202" path="m,l,21600r21600,l21600,xe">
              <v:stroke joinstyle="miter"/>
              <v:path gradientshapeok="t" o:connecttype="rect"/>
            </v:shapetype>
            <v:shape id="PowerPlusWaterMarkObject630565937" o:spid="_x0000_s1026" type="#_x0000_t202" style="position:absolute;left:0;text-align:left;margin-left:0;margin-top:0;width:743.25pt;height:54pt;rotation:-45;z-index:-25165516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" o:allowincell="f" filled="f" stroked="f">
              <v:stroke joinstyle="round"/>
              <o:lock v:ext="edit" rotation="t" aspectratio="t" verticies="t" adjusthandles="t" grouping="t" shapetype="t"/>
              <v:textbox>
                <w:txbxContent>
                  <w:p w14:paraId="1B5F18B3" w14:textId="77777777" w:rsidR="00995A3C" w:rsidRDefault="00995A3C" w:rsidP="00995A3C">
                    <w:pPr>
                      <w:jc w:val="center"/>
                      <w:rPr>
                        <w:color w:val="7F7F7F" w:themeColor="text1" w:themeTint="80"/>
                        <w:sz w:val="16"/>
                        <w:szCs w:val="16"/>
                        <w:lang w:val="en-US"/>
                        <w14:textFill>
                          <w14:solidFill>
                            <w14:schemeClr w14:val="tx1">
                              <w14:alpha w14:val="50000"/>
                              <w14:lumMod w14:val="50000"/>
                              <w14:lumOff w14:val="50000"/>
                            </w14:schemeClr>
                          </w14:solidFill>
                        </w14:textFill>
                      </w:rPr>
                    </w:pPr>
                    <w:r>
                      <w:rPr>
                        <w:color w:val="7F7F7F" w:themeColor="text1" w:themeTint="80"/>
                        <w:sz w:val="16"/>
                        <w:szCs w:val="16"/>
                        <w:lang w:val="en-US"/>
                        <w14:textFill>
                          <w14:solidFill>
                            <w14:schemeClr w14:val="tx1">
                              <w14:alpha w14:val="50000"/>
                              <w14:lumMod w14:val="50000"/>
                              <w14:lumOff w14:val="50000"/>
                            </w14:schemeClr>
                          </w14:solidFill>
                        </w14:textFill>
                      </w:rPr>
                      <w:t>DRAFT - for consultation purposes</w:t>
                    </w:r>
                  </w:p>
                </w:txbxContent>
              </v:textbox>
              <w10:wrap anchorx="margin" anchory="margin"/>
            </v:shape>
          </w:pict>
        </mc:Fallback>
      </mc:AlternateContent>
    </w:r>
    <w:r w:rsidRPr="00EB08CE">
      <w:rPr>
        <w:noProof/>
        <w:lang w:eastAsia="en-CA"/>
      </w:rPr>
      <w:drawing>
        <wp:inline distT="0" distB="0" distL="0" distR="0" wp14:anchorId="1BB537A2" wp14:editId="12240D9B">
          <wp:extent cx="2933700" cy="674751"/>
          <wp:effectExtent l="0" t="0" r="0" b="1143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33700" cy="674751"/>
                  </a:xfrm>
                  <a:prstGeom prst="rect">
                    <a:avLst/>
                  </a:prstGeom>
                </pic:spPr>
              </pic:pic>
            </a:graphicData>
          </a:graphic>
        </wp:inline>
      </w:drawing>
    </w:r>
    <w:r>
      <w:rPr>
        <w:noProof/>
        <w:lang w:eastAsia="en-CA"/>
      </w:rPr>
      <mc:AlternateContent>
        <mc:Choice Requires="wps">
          <w:drawing>
            <wp:anchor distT="0" distB="0" distL="114300" distR="114300" simplePos="0" relativeHeight="251660290" behindDoc="0" locked="0" layoutInCell="1" allowOverlap="1" wp14:anchorId="0C2ABF4A" wp14:editId="5EF93466">
              <wp:simplePos x="0" y="0"/>
              <wp:positionH relativeFrom="column">
                <wp:posOffset>47837</wp:posOffset>
              </wp:positionH>
              <wp:positionV relativeFrom="paragraph">
                <wp:posOffset>2540</wp:posOffset>
              </wp:positionV>
              <wp:extent cx="3203998" cy="916093"/>
              <wp:effectExtent l="0" t="0" r="0" b="0"/>
              <wp:wrapNone/>
              <wp:docPr id="2" name="Text Box 2"/>
              <wp:cNvGraphicFramePr/>
              <a:graphic xmlns:a="http://schemas.openxmlformats.org/drawingml/2006/main">
                <a:graphicData uri="http://schemas.microsoft.com/office/word/2010/wordprocessingShape">
                  <wps:wsp>
                    <wps:cNvSpPr txBox="1"/>
                    <wps:spPr>
                      <a:xfrm>
                        <a:off x="0" y="0"/>
                        <a:ext cx="3203998" cy="91609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1AC886" w14:textId="3ADDAAE1" w:rsidR="00995A3C" w:rsidRPr="00FA2892" w:rsidRDefault="00995A3C" w:rsidP="00995A3C">
                          <w:pPr>
                            <w:ind w:left="-142"/>
                          </w:pPr>
                          <w:r w:rsidRPr="00995A3C">
                            <w:t>External Client Data Protection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ABF4A" id="Text Box 2" o:spid="_x0000_s1027" type="#_x0000_t202" style="position:absolute;left:0;text-align:left;margin-left:3.75pt;margin-top:.2pt;width:252.3pt;height:72.1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" filled="f" stroked="f">
              <v:textbox>
                <w:txbxContent>
                  <w:p w14:paraId="711AC886" w14:textId="3ADDAAE1" w:rsidR="00995A3C" w:rsidRPr="00FA2892" w:rsidRDefault="00995A3C" w:rsidP="00995A3C">
                    <w:pPr>
                      <w:ind w:left="-142"/>
                    </w:pPr>
                    <w:r w:rsidRPr="00995A3C">
                      <w:t>External Client Data Protection Policy</w:t>
                    </w:r>
                  </w:p>
                </w:txbxContent>
              </v:textbox>
            </v:shape>
          </w:pict>
        </mc:Fallback>
      </mc:AlternateContent>
    </w:r>
  </w:p>
  <w:p w14:paraId="17C0C384" w14:textId="77777777" w:rsidR="00FB25F7" w:rsidRDefault="00FB25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06688" w14:textId="77777777" w:rsidR="00FB25F7" w:rsidRDefault="00FB2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875E0"/>
    <w:multiLevelType w:val="multilevel"/>
    <w:tmpl w:val="E08CF890"/>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70890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CE5"/>
    <w:rsid w:val="00092CE5"/>
    <w:rsid w:val="000D007E"/>
    <w:rsid w:val="0011783B"/>
    <w:rsid w:val="001B524F"/>
    <w:rsid w:val="001F0C6D"/>
    <w:rsid w:val="003D27E8"/>
    <w:rsid w:val="004270C8"/>
    <w:rsid w:val="004C27B6"/>
    <w:rsid w:val="005850E6"/>
    <w:rsid w:val="005907CE"/>
    <w:rsid w:val="005D7CF6"/>
    <w:rsid w:val="005F5D66"/>
    <w:rsid w:val="0065311E"/>
    <w:rsid w:val="00695897"/>
    <w:rsid w:val="00717B0A"/>
    <w:rsid w:val="00761048"/>
    <w:rsid w:val="007C76B7"/>
    <w:rsid w:val="007D7B9B"/>
    <w:rsid w:val="00860034"/>
    <w:rsid w:val="00904265"/>
    <w:rsid w:val="009355B1"/>
    <w:rsid w:val="00935602"/>
    <w:rsid w:val="009537E7"/>
    <w:rsid w:val="0099409B"/>
    <w:rsid w:val="00995A3C"/>
    <w:rsid w:val="00A060D4"/>
    <w:rsid w:val="00A56B7D"/>
    <w:rsid w:val="00AB0BDB"/>
    <w:rsid w:val="00AE1E21"/>
    <w:rsid w:val="00B30742"/>
    <w:rsid w:val="00BB25D5"/>
    <w:rsid w:val="00BD4684"/>
    <w:rsid w:val="00D14960"/>
    <w:rsid w:val="00D26E39"/>
    <w:rsid w:val="00D519C8"/>
    <w:rsid w:val="00D6517A"/>
    <w:rsid w:val="00E22D14"/>
    <w:rsid w:val="00E30B39"/>
    <w:rsid w:val="00EA053D"/>
    <w:rsid w:val="00F70492"/>
    <w:rsid w:val="00F93880"/>
    <w:rsid w:val="00FB25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60EF2"/>
  <w15:docId w15:val="{4B621DC5-070E-9647-8F9E-546E848C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B25F7"/>
    <w:pPr>
      <w:tabs>
        <w:tab w:val="center" w:pos="4680"/>
        <w:tab w:val="right" w:pos="9360"/>
      </w:tabs>
      <w:spacing w:line="240" w:lineRule="auto"/>
    </w:pPr>
  </w:style>
  <w:style w:type="character" w:customStyle="1" w:styleId="HeaderChar">
    <w:name w:val="Header Char"/>
    <w:basedOn w:val="DefaultParagraphFont"/>
    <w:link w:val="Header"/>
    <w:uiPriority w:val="99"/>
    <w:rsid w:val="00FB25F7"/>
  </w:style>
  <w:style w:type="paragraph" w:styleId="Footer">
    <w:name w:val="footer"/>
    <w:basedOn w:val="Normal"/>
    <w:link w:val="FooterChar"/>
    <w:uiPriority w:val="99"/>
    <w:unhideWhenUsed/>
    <w:rsid w:val="00FB25F7"/>
    <w:pPr>
      <w:tabs>
        <w:tab w:val="center" w:pos="4680"/>
        <w:tab w:val="right" w:pos="9360"/>
      </w:tabs>
      <w:spacing w:line="240" w:lineRule="auto"/>
    </w:pPr>
  </w:style>
  <w:style w:type="character" w:customStyle="1" w:styleId="FooterChar">
    <w:name w:val="Footer Char"/>
    <w:basedOn w:val="DefaultParagraphFont"/>
    <w:link w:val="Footer"/>
    <w:uiPriority w:val="99"/>
    <w:rsid w:val="00FB25F7"/>
  </w:style>
  <w:style w:type="paragraph" w:styleId="NormalWeb">
    <w:name w:val="Normal (Web)"/>
    <w:basedOn w:val="Normal"/>
    <w:uiPriority w:val="99"/>
    <w:semiHidden/>
    <w:unhideWhenUsed/>
    <w:rsid w:val="0011783B"/>
    <w:pPr>
      <w:spacing w:before="100" w:beforeAutospacing="1" w:after="100" w:afterAutospacing="1" w:line="240" w:lineRule="auto"/>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esearch@tru.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ivacy@tru.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617</Words>
  <Characters>3518</Characters>
  <Application>Microsoft Office Word</Application>
  <DocSecurity>0</DocSecurity>
  <Lines>29</Lines>
  <Paragraphs>8</Paragraphs>
  <ScaleCrop>false</ScaleCrop>
  <Company/>
  <LinksUpToDate>false</LinksUpToDate>
  <CharactersWithSpaces>4127</CharactersWithSpaces>
  <SharedDoc>false</SharedDoc>
  <HLinks>
    <vt:vector size="12" baseType="variant">
      <vt:variant>
        <vt:i4>1835058</vt:i4>
      </vt:variant>
      <vt:variant>
        <vt:i4>3</vt:i4>
      </vt:variant>
      <vt:variant>
        <vt:i4>0</vt:i4>
      </vt:variant>
      <vt:variant>
        <vt:i4>5</vt:i4>
      </vt:variant>
      <vt:variant>
        <vt:lpwstr>mailto:research@tru.ca</vt:lpwstr>
      </vt:variant>
      <vt:variant>
        <vt:lpwstr/>
      </vt:variant>
      <vt:variant>
        <vt:i4>65585</vt:i4>
      </vt:variant>
      <vt:variant>
        <vt:i4>0</vt:i4>
      </vt:variant>
      <vt:variant>
        <vt:i4>0</vt:i4>
      </vt:variant>
      <vt:variant>
        <vt:i4>5</vt:i4>
      </vt:variant>
      <vt:variant>
        <vt:lpwstr>mailto:privacy@tru.ca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Smith</dc:creator>
  <cp:keywords/>
  <cp:lastModifiedBy>Lincoln Smith</cp:lastModifiedBy>
  <cp:revision>22</cp:revision>
  <dcterms:created xsi:type="dcterms:W3CDTF">2025-08-27T16:07:00Z</dcterms:created>
  <dcterms:modified xsi:type="dcterms:W3CDTF">2025-08-28T15:32:00Z</dcterms:modified>
</cp:coreProperties>
</file>